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395"/>
        <w:gridCol w:w="1860"/>
        <w:gridCol w:w="1875"/>
        <w:gridCol w:w="1875"/>
        <w:tblGridChange w:id="0">
          <w:tblGrid>
            <w:gridCol w:w="2370"/>
            <w:gridCol w:w="1395"/>
            <w:gridCol w:w="1860"/>
            <w:gridCol w:w="1875"/>
            <w:gridCol w:w="18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 like the language from Delaware, Illinois, Ohio and Missouri about what to do when two people have information.</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The states that are very clear that reporting to a supervisor doesn’t meet the requirements (period) do help with clarity (even though I don’t think we need to have a 100% policy like that).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I don’t like the language from Georgia, Idaho, Maine, and others that require the third party supervisor or head of the agency to do the reporting.  I think you risk having worse information and lack of knowledge for the report.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I appreciate the purpose but do not like the language in Indiana (and I think one previous state) that you don’t have to report if you have a reasonable belief a report has been made.  That is just going to add a layer of confusion and trouble.  If you have something like this it needs to say that you have confirmation that a report was made. </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I do not like the ability to transfer the duty to someone else like Massachusetts or Wyoming.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There should be a requirement of confirmation by the person with the duty (if they delegate) that a report was made.  While I didn’t like part of Maine’s language, they have a good sentence about needing to report if you don’t get confirmation it was done within 24 hours. </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I really like the language from Illinois the best with the addition of the Maine sentence above.   </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It should be the choice of the reporter to delegate (and not a requirement).</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I like clarity around what to do when multiple people have the same or similar information I am not liking just a blanket delegation to supervisors or others.  </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I like the language from Tennessee that a policy cannot inhibit or interfere with the duty of the person to report.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I think California’s language is the best in this group but not ideal.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North Dakota’s process seems to create more work and not create efficiencies since each party has to do the detailed report.  But maybe the time consuming part is the call itself?  If so, would this help?  </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t xml:space="preserve">I would also be concerned with the language from South Dakota of each place having a written policy because you are asking for things to be really inconsistent across the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Do something like South Dakota and allow each institution to have a written policy but limit it to agencies with more than XX employees and provide some guidance in statute so that the policies are more similar.  Some ideas on what to include would be the cannot inhibit or interfere language, the policy cannot delay the reporting beyond statutory limits, has to meet the statute requirements, must include contacts for anyone in the agency with relevant information so that a proper investigation can be done.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I think that 25 is too small for the agency size… maybe 100? </w:t>
            </w:r>
          </w:p>
        </w:tc>
      </w:tr>
    </w:tbl>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