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Your Name:Cris Menz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4"/>
        <w:gridCol w:w="1380"/>
        <w:gridCol w:w="1872.0000000000002"/>
        <w:gridCol w:w="1872.0000000000002"/>
        <w:gridCol w:w="1872.0000000000002"/>
        <w:tblGridChange w:id="0">
          <w:tblGrid>
            <w:gridCol w:w="2364"/>
            <w:gridCol w:w="1380"/>
            <w:gridCol w:w="1872.0000000000002"/>
            <w:gridCol w:w="1872.0000000000002"/>
            <w:gridCol w:w="1872.000000000000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suggestions on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Definition of “Immediately” and Timeframes for Reporters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Black and white, “shall report immediately” no gray to who, what, etc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CO?  “Upon receiving”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hand?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Simple and direct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Vague - immediate with reasonable ability to do so with maximum time frame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Whether Mandatory Reporters have a duty that extends beyond their professional capacity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NC, IN language good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“Any individual who suspects”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Simple and direct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you hold a license that makes you a MR, no beyond or personal leisure, should report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Reporting processes for two or more mandatory reporters who have joint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LOVE CA!</w:t>
              <w:br w:type="textWrapping"/>
              <w:t xml:space="preserve">First sentence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Language per organization and language per separate organizations working cohesively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Would ensure that direct access to report then notify their direct supervisor (per agency) and each agency should report individually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