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 Jessica Dotter</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Definition of “Immediately” and Timeframes for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Like Alaska - immediately but immediately is defined as </w:t>
            </w:r>
            <w:r w:rsidDel="00000000" w:rsidR="00000000" w:rsidRPr="00000000">
              <w:rPr>
                <w:b w:val="1"/>
                <w:color w:val="4b4f58"/>
                <w:sz w:val="24"/>
                <w:szCs w:val="24"/>
                <w:highlight w:val="white"/>
                <w:rtl w:val="0"/>
              </w:rPr>
              <w:t xml:space="preserve">“‘Immediately’ means as soon as is reasonably possible, and no later than 24 hours.”</w:t>
            </w:r>
            <w:r w:rsidDel="00000000" w:rsidR="00000000" w:rsidRPr="00000000">
              <w:rPr>
                <w:rtl w:val="0"/>
              </w:rPr>
              <w:t xml:space="preserve">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Or think the ‘as soon as practicably possible but no later than 24 hours…” is 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I think the states that have no comment on timeframe or just “immediately”(like we do) are less helpful for reporters and clarity in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Prefer “as soon as reasonably possible, and no later than 24 hours.”</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This provides for some leeway for setting up safety plans and completing other pressing duties the reporter has (in class/set to do surgery/in court).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Whether Mandatory Reporters have a duty that extends beyond their professional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This is more of a yes or no question of policy - if we want it to be limited - I prefer language like CA that it is “within professional capacity.” If we don’t want it to be limited, I don’t see great language from other states that is clear.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color w:val="4b4f58"/>
                <w:sz w:val="24"/>
                <w:szCs w:val="24"/>
              </w:rPr>
            </w:pPr>
            <w:r w:rsidDel="00000000" w:rsidR="00000000" w:rsidRPr="00000000">
              <w:rPr>
                <w:rtl w:val="0"/>
              </w:rPr>
              <w:t xml:space="preserve">If we want to limit it to within capacity – add ‘</w:t>
            </w:r>
            <w:r w:rsidDel="00000000" w:rsidR="00000000" w:rsidRPr="00000000">
              <w:rPr>
                <w:color w:val="4b4f58"/>
                <w:sz w:val="24"/>
                <w:szCs w:val="24"/>
                <w:rtl w:val="0"/>
              </w:rPr>
              <w:t xml:space="preserve">any person specified</w:t>
            </w:r>
            <w:r w:rsidDel="00000000" w:rsidR="00000000" w:rsidRPr="00000000">
              <w:rPr>
                <w:color w:val="4b4f58"/>
                <w:sz w:val="24"/>
                <w:szCs w:val="24"/>
                <w:rtl w:val="0"/>
              </w:rPr>
              <w:t xml:space="preserve"> in subsection (2) of this section </w:t>
            </w:r>
            <w:r w:rsidDel="00000000" w:rsidR="00000000" w:rsidRPr="00000000">
              <w:rPr>
                <w:b w:val="1"/>
                <w:color w:val="4b4f58"/>
                <w:sz w:val="24"/>
                <w:szCs w:val="24"/>
                <w:rtl w:val="0"/>
              </w:rPr>
              <w:t xml:space="preserve">who, within their professional capacity, </w:t>
            </w:r>
            <w:r w:rsidDel="00000000" w:rsidR="00000000" w:rsidRPr="00000000">
              <w:rPr>
                <w:color w:val="4b4f58"/>
                <w:sz w:val="24"/>
                <w:szCs w:val="24"/>
                <w:rtl w:val="0"/>
              </w:rPr>
              <w:t xml:space="preserve">has reasonable cause to know or suspect that a child has been subjected to abuse or neglect or who has observed the child being subjected to circumstances or conditions that would reasonably result in abuse or neglect shall immediately”</w:t>
            </w:r>
          </w:p>
          <w:p w:rsidR="00000000" w:rsidDel="00000000" w:rsidP="00000000" w:rsidRDefault="00000000" w:rsidRPr="00000000" w14:paraId="00000015">
            <w:pPr>
              <w:widowControl w:val="0"/>
              <w:spacing w:line="240" w:lineRule="auto"/>
              <w:rPr>
                <w:color w:val="4b4f58"/>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color w:val="4b4f58"/>
                <w:sz w:val="24"/>
                <w:szCs w:val="24"/>
              </w:rPr>
            </w:pPr>
            <w:r w:rsidDel="00000000" w:rsidR="00000000" w:rsidRPr="00000000">
              <w:rPr>
                <w:color w:val="4b4f58"/>
                <w:sz w:val="24"/>
                <w:szCs w:val="24"/>
                <w:rtl w:val="0"/>
              </w:rPr>
              <w:t xml:space="preserve">If we don’t want it limited, I suggest we use language at end of current language such as “This duty remains with the person regardless whether the cause to know or suspect abuse was gathered in their professional or personal capacity.” </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 personally think we may want tiers of who has the duty always and who does not. Based on profession - while certain professionals wouldn’t make sense to extend beyond work, but others (law enforcement, doctors, lawyers – those who have obligations in their personal lives to act according to their profession and who the public regularly relies upon and understands to be a source of aid) should have a duty beyond their professional capacity.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Reporting processes for two or more mandatory reporters who have joint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color w:val="4b4f58"/>
                <w:sz w:val="24"/>
                <w:szCs w:val="24"/>
              </w:rPr>
            </w:pPr>
            <w:r w:rsidDel="00000000" w:rsidR="00000000" w:rsidRPr="00000000">
              <w:rPr>
                <w:rtl w:val="0"/>
              </w:rPr>
              <w:t xml:space="preserve">Like CA “</w:t>
            </w:r>
            <w:r w:rsidDel="00000000" w:rsidR="00000000" w:rsidRPr="00000000">
              <w:rPr>
                <w:b w:val="1"/>
                <w:color w:val="4b4f58"/>
                <w:sz w:val="24"/>
                <w:szCs w:val="24"/>
                <w:rtl w:val="0"/>
              </w:rPr>
              <w:t xml:space="preserve">Reporting the information</w:t>
            </w:r>
            <w:r w:rsidDel="00000000" w:rsidR="00000000" w:rsidRPr="00000000">
              <w:rPr>
                <w:color w:val="4b4f58"/>
                <w:sz w:val="24"/>
                <w:szCs w:val="24"/>
                <w:rtl w:val="0"/>
              </w:rPr>
              <w:t xml:space="preserve"> regarding knowledge of or reasonably suspected child abuse or neglect to an employer, supervisor, school principal, school counselor, coworker, or other person shall not be a substitute for making a mandated report to an agency”</w:t>
            </w:r>
          </w:p>
          <w:p w:rsidR="00000000" w:rsidDel="00000000" w:rsidP="00000000" w:rsidRDefault="00000000" w:rsidRPr="00000000" w14:paraId="0000001C">
            <w:pPr>
              <w:widowControl w:val="0"/>
              <w:spacing w:line="240" w:lineRule="auto"/>
              <w:rPr>
                <w:color w:val="4b4f58"/>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color w:val="4b4f58"/>
                <w:sz w:val="24"/>
                <w:szCs w:val="24"/>
              </w:rPr>
            </w:pPr>
            <w:r w:rsidDel="00000000" w:rsidR="00000000" w:rsidRPr="00000000">
              <w:rPr>
                <w:color w:val="4b4f58"/>
                <w:sz w:val="24"/>
                <w:szCs w:val="24"/>
                <w:rtl w:val="0"/>
              </w:rPr>
              <w:t xml:space="preserve">Also like SC “</w:t>
            </w:r>
            <w:r w:rsidDel="00000000" w:rsidR="00000000" w:rsidRPr="00000000">
              <w:rPr>
                <w:color w:val="4b4f58"/>
                <w:sz w:val="24"/>
                <w:szCs w:val="24"/>
                <w:highlight w:val="white"/>
                <w:rtl w:val="0"/>
              </w:rPr>
              <w:t xml:space="preserve">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agency…A person, as provided in subsection (A) or (B), who reports child abuse or neglect to a supervisor or person in charge of an institution, school, facility, or agency is not relieved of his individual duty to report in accordance with this section. “</w:t>
            </w: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4b4f58"/>
                <w:sz w:val="24"/>
                <w:szCs w:val="24"/>
                <w:highlight w:val="white"/>
              </w:rPr>
            </w:pPr>
            <w:r w:rsidDel="00000000" w:rsidR="00000000" w:rsidRPr="00000000">
              <w:rPr>
                <w:rtl w:val="0"/>
              </w:rPr>
              <w:t xml:space="preserve">Think Wyoming is confusing - says </w:t>
            </w:r>
            <w:r w:rsidDel="00000000" w:rsidR="00000000" w:rsidRPr="00000000">
              <w:rPr>
                <w:color w:val="4b4f58"/>
                <w:sz w:val="24"/>
                <w:szCs w:val="24"/>
                <w:highlight w:val="white"/>
                <w:rtl w:val="0"/>
              </w:rPr>
              <w:t xml:space="preserve">shall notify the person in charge or his designated agent as soon as possible, who is thereupon also responsible to make the report or cause the report to be made. Nothing in this subsection is intended to relieve individuals of their obligation to report on their own behalf unless a report has already been made or will be made” – so it creates an internal process requirement (we should not) and still doesn’t relieve obligation. </w:t>
            </w:r>
          </w:p>
          <w:p w:rsidR="00000000" w:rsidDel="00000000" w:rsidP="00000000" w:rsidRDefault="00000000" w:rsidRPr="00000000" w14:paraId="00000021">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22">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Michigan is also confusing. “A notification to the person in charge of a hospital, agency, or school does not relieve the member of the staff of the hospital, agency, or school of the obligation of reporting to the department as required by this section. One report from a hospital, agency, or school is adequate to meet the reporting requirement” – implies that reporting duty remains with individual and then says a report from an institution is adequate.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I think it should remain with the reporter and not be allowed to be given to supervisor alone – ripe for interference with legitimate report and takes away the person with the knowledge from the center of the report, making investigations harder and more complex.  </w:t>
            </w:r>
          </w:p>
          <w:p w:rsidR="00000000" w:rsidDel="00000000" w:rsidP="00000000" w:rsidRDefault="00000000" w:rsidRPr="00000000" w14:paraId="00000025">
            <w:pPr>
              <w:widowControl w:val="0"/>
              <w:spacing w:line="240" w:lineRule="auto"/>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