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tend to favor that if a delegated person is to make the report that it discharges the duty of the informant (GA for example)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examples that continue to place burden on those who acted to inform the delegated professional.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Important to note that having not discussed the mandate to consider the reporter/lawyer relationship, this information is offered in the context outside of that relationship.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others, I do think this could be handled internally and through additional policies and documentation requirements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Following the previous point above, it makes sense to require institutions to have a policy.  I tend to favor a mix of internal policies possibly regulated/supported by government 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example that both allows for institutional policies and requires everyone to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Important to note that having not discussed the mandate to consider the reporter/lawyer relationship, this information is offered in the context outside of that relationship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That said just as DORA has rules and forms that are tied to state law, why can’t there be a similar set-up for institutions?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