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Definition of “Immediately” and Timeframes for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Promptly- no more than 24 hrs, for instance, allows for some deliberation which I believe is incredibly important, also adds specificity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Open ended requirements that put reporters at risk of having to interpret.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Immediately definition - at once, instantly, without any intervening time or space.  While my agency trains to follow 24hr timeline, I’m not always convinced it offers enough time to adequately consult, particularly considering the constraints of gaining entry to jails and prisons in any timely manner; that said, since we already train for it that way, I’m not vehemently against a 24 hr timeframe.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Whether Mandatory Reporters have a duty that extends beyond their professional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States that limit duties to professional capacity. Nevada is a good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States that list the specific instances and under which circumstances for each profession.  ONLY since doing that for the innumerable professions we require as reporters it would be impracticable to do that for each profession.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Reporting processes for two or more mandatory reporters who have joint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States that limit to 1 report or knowledge of a historical report already having been made (understanding these may not exist in any statute anywhere)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Clarity around this would be helpful.  It does seem like Washington’s language does approach the possibility of addressing 2 or more where it discusses Supervisors</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