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Your Name:Lori Jenkins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2355"/>
        <w:gridCol w:w="1305"/>
        <w:gridCol w:w="1875"/>
        <w:gridCol w:w="1875"/>
        <w:tblGridChange w:id="0">
          <w:tblGrid>
            <w:gridCol w:w="1965"/>
            <w:gridCol w:w="2355"/>
            <w:gridCol w:w="1305"/>
            <w:gridCol w:w="1875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of “Immediately” and Timeframes for Reporters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Alaska - provides a definition of immediately and a timeframe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don’t think that a report should be made in writing. There are too many questions that need to be clarified.  It should be done orally.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like that some states provide a timeframe but I think that 24 hours is the max amount of time that should be allowed.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Whether Mandatory Reporters have a duty that extends beyond their professional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"When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any of the following persons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has reason to suspect that a child has been harmed as a result of physical, mental or emotional abuse or neglect or sexual abuse, the person shall report"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0"/>
              </w:rPr>
              <w:t xml:space="preserve">any mandatory reporter who has cause to believe</w:t>
            </w:r>
            <w:r w:rsidDel="00000000" w:rsidR="00000000" w:rsidRPr="00000000">
              <w:rPr>
                <w:rtl w:val="0"/>
              </w:rPr>
              <w:t xml:space="preserve"> that a child's physical or mental health or welfare is endangered as a result of abuse or neglect"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Reporting processes for two or more mandatory reporters who have joint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