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numPr>
          <w:ilvl w:val="0"/>
          <w:numId w:val="1"/>
        </w:numPr>
        <w:spacing w:line="216" w:lineRule="auto"/>
        <w:ind w:left="720" w:hanging="360"/>
        <w:rPr>
          <w:rFonts w:ascii="Calibri" w:cs="Calibri" w:eastAsia="Calibri" w:hAnsi="Calibri"/>
          <w:b w:val="1"/>
          <w:color w:val="8a1f03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color w:val="8a1f03"/>
          <w:sz w:val="28"/>
          <w:szCs w:val="28"/>
          <w:u w:val="single"/>
          <w:rtl w:val="0"/>
        </w:rPr>
        <w:t xml:space="preserve">Training subcommittee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numPr>
          <w:ilvl w:val="2"/>
          <w:numId w:val="2"/>
        </w:numPr>
        <w:spacing w:line="216" w:lineRule="auto"/>
        <w:ind w:left="2160" w:hanging="360.0023999999999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472c4"/>
          <w:sz w:val="28"/>
          <w:szCs w:val="28"/>
          <w:rtl w:val="0"/>
        </w:rPr>
        <w:t xml:space="preserve">Standardized training for implicit bias (Directive III)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numPr>
          <w:ilvl w:val="2"/>
          <w:numId w:val="2"/>
        </w:numPr>
        <w:spacing w:line="216" w:lineRule="auto"/>
        <w:ind w:left="2160" w:hanging="360.0023999999999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472c4"/>
          <w:sz w:val="28"/>
          <w:szCs w:val="28"/>
          <w:rtl w:val="0"/>
        </w:rPr>
        <w:t xml:space="preserve">Standard training regarding the requirements of the law (Directive 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2"/>
          <w:numId w:val="2"/>
        </w:numPr>
        <w:spacing w:line="216" w:lineRule="auto"/>
        <w:ind w:left="2160" w:hanging="360.0023999999999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472c4"/>
          <w:sz w:val="28"/>
          <w:szCs w:val="28"/>
          <w:rtl w:val="0"/>
        </w:rPr>
        <w:t xml:space="preserve">Training requirements for people applying/renewing professional licenses (Directive XV)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2"/>
          <w:numId w:val="2"/>
        </w:numPr>
        <w:spacing w:line="216" w:lineRule="auto"/>
        <w:ind w:left="2160" w:hanging="360.0023999999999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472c4"/>
          <w:sz w:val="28"/>
          <w:szCs w:val="28"/>
          <w:rtl w:val="0"/>
        </w:rPr>
        <w:t xml:space="preserve">Standard training for county departments in determining which reports meet the threshold for assessment (Directive XVII)</w:t>
      </w:r>
    </w:p>
    <w:p w:rsidR="00000000" w:rsidDel="00000000" w:rsidP="00000000" w:rsidRDefault="00000000" w:rsidRPr="00000000" w14:paraId="00000006">
      <w:pPr>
        <w:widowControl w:val="0"/>
        <w:spacing w:line="216" w:lineRule="auto"/>
        <w:ind w:left="2160" w:firstLine="0"/>
        <w:rPr>
          <w:rFonts w:ascii="Calibri" w:cs="Calibri" w:eastAsia="Calibri" w:hAnsi="Calibri"/>
          <w:color w:val="4472c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line="216" w:lineRule="auto"/>
        <w:ind w:left="720" w:hanging="360"/>
        <w:rPr>
          <w:rFonts w:ascii="Calibri" w:cs="Calibri" w:eastAsia="Calibri" w:hAnsi="Calibri"/>
          <w:b w:val="1"/>
          <w:color w:val="8a1f03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8a1f03"/>
          <w:sz w:val="28"/>
          <w:szCs w:val="28"/>
          <w:u w:val="single"/>
          <w:rtl w:val="0"/>
        </w:rPr>
        <w:t xml:space="preserve">Reporting Processes subcommittee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2"/>
          <w:numId w:val="2"/>
        </w:numPr>
        <w:spacing w:line="216" w:lineRule="auto"/>
        <w:ind w:left="2160" w:hanging="360.0023999999999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472c4"/>
          <w:sz w:val="28"/>
          <w:szCs w:val="28"/>
          <w:rtl w:val="0"/>
        </w:rPr>
        <w:t xml:space="preserve">Definition of “immediately” and timeframes for reporters (Directive VI)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2"/>
          <w:numId w:val="2"/>
        </w:numPr>
        <w:spacing w:line="216" w:lineRule="auto"/>
        <w:ind w:left="2160" w:hanging="360.0023999999999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472c4"/>
          <w:sz w:val="28"/>
          <w:szCs w:val="28"/>
          <w:rtl w:val="0"/>
        </w:rPr>
        <w:t xml:space="preserve">Whether mandatory reporters have a duty that extends beyond their professional capacity (Directive IX)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2"/>
          <w:numId w:val="2"/>
        </w:numPr>
        <w:spacing w:line="216" w:lineRule="auto"/>
        <w:ind w:left="2160" w:hanging="360.0023999999999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472c4"/>
          <w:sz w:val="28"/>
          <w:szCs w:val="28"/>
          <w:rtl w:val="0"/>
        </w:rPr>
        <w:t xml:space="preserve">Reporting process for two or more mandatory reporters who have joint knowledge (Directive XII)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2"/>
          <w:numId w:val="2"/>
        </w:numPr>
        <w:spacing w:line="216" w:lineRule="auto"/>
        <w:ind w:left="2160" w:hanging="360.0023999999999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472c4"/>
          <w:sz w:val="28"/>
          <w:szCs w:val="28"/>
          <w:rtl w:val="0"/>
        </w:rPr>
        <w:t xml:space="preserve">Whether the duty to report may be delegated to another (Directive XIII)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2"/>
          <w:numId w:val="2"/>
        </w:numPr>
        <w:spacing w:line="216" w:lineRule="auto"/>
        <w:ind w:left="2160" w:hanging="360.0023999999999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472c4"/>
          <w:sz w:val="28"/>
          <w:szCs w:val="28"/>
          <w:rtl w:val="0"/>
        </w:rPr>
        <w:t xml:space="preserve">Whether institutions may develop internal policies regarding mandatory reports (Directive XIV)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•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56"/>
        <w:szCs w:val="56"/>
        <w:u w:val="none"/>
        <w:shd w:fill="auto" w:val="clear"/>
        <w:vertAlign w:val="baseline"/>
      </w:rPr>
    </w:lvl>
    <w:lvl w:ilvl="1">
      <w:start w:val="1"/>
      <w:numFmt w:val="bullet"/>
      <w:lvlText w:val="•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</w:rPr>
    </w:lvl>
    <w:lvl w:ilvl="2">
      <w:start w:val="1"/>
      <w:numFmt w:val="bullet"/>
      <w:lvlText w:val="•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4">
      <w:start w:val="1"/>
      <w:numFmt w:val="bullet"/>
      <w:lvlText w:val="•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5">
      <w:start w:val="1"/>
      <w:numFmt w:val="bullet"/>
      <w:lvlText w:val="•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7">
      <w:start w:val="1"/>
      <w:numFmt w:val="bullet"/>
      <w:lvlText w:val="•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8">
      <w:start w:val="1"/>
      <w:numFmt w:val="bullet"/>
      <w:lvlText w:val="•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