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1365"/>
        <w:gridCol w:w="1875"/>
        <w:gridCol w:w="1875"/>
        <w:gridCol w:w="1875"/>
        <w:tblGridChange w:id="0">
          <w:tblGrid>
            <w:gridCol w:w="2385"/>
            <w:gridCol w:w="1365"/>
            <w:gridCol w:w="1875"/>
            <w:gridCol w:w="1875"/>
            <w:gridCol w:w="187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Do you have suggestions on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Additional Notes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240" w:before="240" w:lineRule="auto"/>
              <w:ind w:left="0" w:firstLine="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Whether the duty to report may be delegated to another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I like SC’s and WV’s policy because they don’t exempt employees from making first hand reports.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Wyoming’s policy seems duplicative. I don’t like IN policy because I can foresee issues with the person in charge not being immediately available and could cause delays.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Since I feel strongly that first-hand information is relevant to the reporting process, I would not want to see the delegation of authority to another who DID NOT have first hand knowledge of the reporting situation. In other words, I would not be in favor of an employee delegating to a supervisor. I would be in favor of language that would outline a multidisciplinary team’s effort to make a report if all of the participating professionals had the same information to avoid duplication.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As I stated in the meeting, I am not in favor of any policy that would prohibit delegation of authority to be from the top down - ex. A principal that wants all reports to go through them first and they decide, rather the person responsible for the report should be able to delegate to another reporting professional that shared the same reporting concerns about the situation.</w:t>
            </w:r>
          </w:p>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tl w:val="0"/>
              </w:rPr>
              <w:t xml:space="preserve">Our statute currently requires reports be followed up in writing. How would this be handled if authority is delegated? Where should written reports be sent? Police and DHS? One or the other?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240" w:before="240" w:lineRule="auto"/>
              <w:ind w:left="0" w:firstLine="0"/>
              <w:rPr/>
            </w:pPr>
            <w:r w:rsidDel="00000000" w:rsidR="00000000" w:rsidRPr="00000000">
              <w:rPr>
                <w:rFonts w:ascii="Calibri" w:cs="Calibri" w:eastAsia="Calibri" w:hAnsi="Calibri"/>
                <w:rtl w:val="0"/>
              </w:rPr>
              <w:t xml:space="preserve">Whether institutions may develop internal policies regarding mandatory reports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I like MO’s policy that really empower the direct line employees to make reports. I also like that ND sets the size limit for the organization. I also like the strong language in CA’s policy.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SD’s policy is too broad regarding school districts creating a policy to report. I think to ensure that loopholes are avoided that we outline policies instead of relying on institutions to create their own that may not necessarily align with the statute. I’m not sure I fully understood KS’s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I believe the simplest way to address this question would be to encourage employers and institutions to adopt reporting policies that are in line with the expectations of the current statute.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